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6642D" w14:textId="77777777" w:rsidR="00141DAF" w:rsidRDefault="00141DAF" w:rsidP="00D8744F">
      <w:pPr>
        <w:pStyle w:val="Nagwek1"/>
        <w:numPr>
          <w:ilvl w:val="0"/>
          <w:numId w:val="0"/>
        </w:numPr>
        <w:jc w:val="left"/>
        <w:rPr>
          <w:rFonts w:cs="Times New Roman"/>
          <w:lang w:eastAsia="en-US"/>
        </w:rPr>
      </w:pPr>
      <w:bookmarkStart w:id="0" w:name="_Toc70497956"/>
    </w:p>
    <w:p w14:paraId="484EB7DC" w14:textId="559A5973" w:rsidR="00B6711B" w:rsidRPr="00B769A6" w:rsidRDefault="00B6711B" w:rsidP="00B6711B">
      <w:pPr>
        <w:pStyle w:val="Nagwek1"/>
        <w:numPr>
          <w:ilvl w:val="0"/>
          <w:numId w:val="0"/>
        </w:numPr>
        <w:ind w:left="357"/>
        <w:jc w:val="left"/>
        <w:rPr>
          <w:rFonts w:cs="Times New Roman"/>
        </w:rPr>
      </w:pPr>
      <w:r w:rsidRPr="00B769A6">
        <w:rPr>
          <w:rFonts w:cs="Times New Roman"/>
          <w:lang w:eastAsia="en-US"/>
        </w:rPr>
        <w:t>Opis przedmiotu zamówienia</w:t>
      </w:r>
      <w:bookmarkEnd w:id="0"/>
    </w:p>
    <w:p w14:paraId="0EF056CE" w14:textId="70C33D90" w:rsidR="00B6711B" w:rsidRPr="004B5568" w:rsidRDefault="00B6711B" w:rsidP="00B6711B">
      <w:pPr>
        <w:pStyle w:val="Akapitzlist"/>
        <w:numPr>
          <w:ilvl w:val="0"/>
          <w:numId w:val="1"/>
        </w:numPr>
        <w:ind w:left="142" w:right="-284" w:hanging="426"/>
        <w:jc w:val="both"/>
        <w:rPr>
          <w:rFonts w:eastAsiaTheme="majorEastAsia"/>
          <w:lang w:eastAsia="en-US"/>
        </w:rPr>
      </w:pPr>
      <w:r w:rsidRPr="00B769A6">
        <w:rPr>
          <w:rFonts w:eastAsiaTheme="majorEastAsia"/>
          <w:lang w:eastAsia="en-US"/>
        </w:rPr>
        <w:t xml:space="preserve">Przedmiotem zamówienia jest </w:t>
      </w:r>
      <w:r w:rsidR="005B0CA1" w:rsidRPr="00B769A6">
        <w:rPr>
          <w:rFonts w:eastAsiaTheme="majorEastAsia"/>
          <w:b/>
          <w:bCs/>
          <w:lang w:eastAsia="en-US"/>
        </w:rPr>
        <w:t xml:space="preserve">udzielenie leasingu operacyjnego na dostawę </w:t>
      </w:r>
      <w:r w:rsidR="00D8744F">
        <w:rPr>
          <w:rFonts w:eastAsiaTheme="majorEastAsia"/>
          <w:b/>
          <w:bCs/>
          <w:lang w:eastAsia="en-US"/>
        </w:rPr>
        <w:t>minikoparki wraz z osprzętem i przyczepą transportową</w:t>
      </w:r>
      <w:r w:rsidR="004B5568">
        <w:rPr>
          <w:rFonts w:eastAsiaTheme="majorEastAsia"/>
          <w:b/>
          <w:bCs/>
          <w:lang w:eastAsia="en-US"/>
        </w:rPr>
        <w:t xml:space="preserve"> w podziale na dwie części:</w:t>
      </w:r>
    </w:p>
    <w:p w14:paraId="1D235D69" w14:textId="5255A9DB" w:rsidR="004B5568" w:rsidRPr="004B5568" w:rsidRDefault="004B5568" w:rsidP="004B5568">
      <w:pPr>
        <w:pStyle w:val="Akapitzlist"/>
        <w:numPr>
          <w:ilvl w:val="0"/>
          <w:numId w:val="3"/>
        </w:numPr>
        <w:ind w:right="-284"/>
        <w:jc w:val="both"/>
        <w:rPr>
          <w:rFonts w:eastAsiaTheme="majorEastAsia"/>
          <w:lang w:eastAsia="en-US"/>
        </w:rPr>
      </w:pPr>
      <w:r>
        <w:rPr>
          <w:rFonts w:eastAsiaTheme="majorEastAsia"/>
          <w:b/>
          <w:bCs/>
          <w:lang w:eastAsia="en-US"/>
        </w:rPr>
        <w:t xml:space="preserve">Część 1 – usługa leasingu operacyjnego na dostawę minikoparki wraz z głowicą obrotowa i osprzętem </w:t>
      </w:r>
    </w:p>
    <w:p w14:paraId="3B620A7B" w14:textId="489E7412" w:rsidR="004B5568" w:rsidRPr="00B769A6" w:rsidRDefault="004B5568" w:rsidP="004B5568">
      <w:pPr>
        <w:pStyle w:val="Akapitzlist"/>
        <w:numPr>
          <w:ilvl w:val="0"/>
          <w:numId w:val="3"/>
        </w:numPr>
        <w:ind w:right="-284"/>
        <w:jc w:val="both"/>
        <w:rPr>
          <w:rFonts w:eastAsiaTheme="majorEastAsia"/>
          <w:lang w:eastAsia="en-US"/>
        </w:rPr>
      </w:pPr>
      <w:r>
        <w:rPr>
          <w:rFonts w:eastAsiaTheme="majorEastAsia"/>
          <w:b/>
          <w:bCs/>
          <w:lang w:eastAsia="en-US"/>
        </w:rPr>
        <w:t>Część 2 – usługa leasingu operacyjnego na dostawę przyczepy transportowej</w:t>
      </w:r>
    </w:p>
    <w:p w14:paraId="353ED52F" w14:textId="569F49B5" w:rsidR="00B6711B" w:rsidRPr="00B769A6" w:rsidRDefault="00B6711B" w:rsidP="00B6711B">
      <w:pPr>
        <w:pStyle w:val="Akapitzlist"/>
        <w:numPr>
          <w:ilvl w:val="0"/>
          <w:numId w:val="1"/>
        </w:numPr>
        <w:ind w:left="142" w:right="-284" w:hanging="426"/>
        <w:jc w:val="both"/>
        <w:rPr>
          <w:rFonts w:eastAsiaTheme="majorEastAsia"/>
          <w:lang w:eastAsia="en-US"/>
        </w:rPr>
      </w:pPr>
      <w:r w:rsidRPr="00B769A6">
        <w:rPr>
          <w:rFonts w:eastAsiaTheme="majorEastAsia"/>
          <w:lang w:eastAsia="en-US"/>
        </w:rPr>
        <w:t xml:space="preserve">Szczegółowa specyfikacja techniczna określająca parametry przedmiotu dostawy stanowi załącznik nr </w:t>
      </w:r>
      <w:r w:rsidR="004B5568">
        <w:rPr>
          <w:rFonts w:eastAsiaTheme="majorEastAsia"/>
          <w:lang w:eastAsia="en-US"/>
        </w:rPr>
        <w:t xml:space="preserve">7 </w:t>
      </w:r>
      <w:r w:rsidRPr="00B769A6">
        <w:rPr>
          <w:rFonts w:eastAsiaTheme="majorEastAsia"/>
          <w:lang w:eastAsia="en-US"/>
        </w:rPr>
        <w:t>do SWZ.</w:t>
      </w:r>
    </w:p>
    <w:p w14:paraId="46853654" w14:textId="77777777" w:rsidR="00B6711B" w:rsidRPr="00B769A6" w:rsidRDefault="00B6711B" w:rsidP="00B6711B">
      <w:pPr>
        <w:pStyle w:val="Akapitzlist"/>
        <w:numPr>
          <w:ilvl w:val="0"/>
          <w:numId w:val="1"/>
        </w:numPr>
        <w:ind w:left="142" w:right="-284" w:hanging="426"/>
        <w:jc w:val="both"/>
        <w:rPr>
          <w:rFonts w:eastAsiaTheme="majorEastAsia"/>
          <w:lang w:eastAsia="en-US"/>
        </w:rPr>
      </w:pPr>
      <w:r w:rsidRPr="00B769A6">
        <w:rPr>
          <w:rFonts w:eastAsiaTheme="majorEastAsia"/>
          <w:lang w:eastAsia="en-US"/>
        </w:rPr>
        <w:t xml:space="preserve">Kod określony we Wspólnym Słowniku Zamówień CPV: </w:t>
      </w:r>
    </w:p>
    <w:p w14:paraId="249DB8F1" w14:textId="09FB2E01" w:rsidR="005B0CA1" w:rsidRPr="00B769A6" w:rsidRDefault="00B6711B" w:rsidP="005B0CA1">
      <w:pPr>
        <w:pStyle w:val="Akapitzlist"/>
        <w:ind w:left="142" w:right="-284"/>
        <w:jc w:val="both"/>
        <w:rPr>
          <w:rFonts w:eastAsiaTheme="majorEastAsia"/>
          <w:b/>
          <w:bCs/>
          <w:lang w:eastAsia="en-US"/>
        </w:rPr>
      </w:pPr>
      <w:r w:rsidRPr="00B769A6">
        <w:rPr>
          <w:rFonts w:eastAsiaTheme="majorEastAsia"/>
          <w:b/>
          <w:bCs/>
          <w:lang w:eastAsia="en-US"/>
        </w:rPr>
        <w:t>66114000 – 2 - usługi leasingu finansowego</w:t>
      </w:r>
    </w:p>
    <w:p w14:paraId="105193FE" w14:textId="0420A0B4" w:rsidR="00B6711B" w:rsidRPr="00B769A6" w:rsidRDefault="00B6711B" w:rsidP="00B6711B">
      <w:pPr>
        <w:pStyle w:val="Akapitzlist"/>
        <w:numPr>
          <w:ilvl w:val="0"/>
          <w:numId w:val="1"/>
        </w:numPr>
        <w:ind w:left="142" w:right="-284" w:hanging="426"/>
        <w:jc w:val="both"/>
        <w:rPr>
          <w:rFonts w:eastAsiaTheme="majorEastAsia"/>
          <w:lang w:eastAsia="en-US"/>
        </w:rPr>
      </w:pPr>
      <w:r w:rsidRPr="00B769A6">
        <w:rPr>
          <w:rFonts w:eastAsiaTheme="majorEastAsia"/>
          <w:lang w:eastAsia="en-US"/>
        </w:rPr>
        <w:t>Wiążący sposób finansowania zamówienia leasing operacyjny w rozumieniu Ustawy z dnia 15 lutego 1992 r. o podatku dochodowym od osób prawnych (t.j. Dz. U. z 2021 r. poz. 1800 ze zm.).</w:t>
      </w:r>
    </w:p>
    <w:p w14:paraId="72C1BFAD" w14:textId="0F3E2C7D" w:rsidR="005B0CA1" w:rsidRPr="00B769A6" w:rsidRDefault="005B0CA1" w:rsidP="00B6711B">
      <w:pPr>
        <w:pStyle w:val="Akapitzlist"/>
        <w:numPr>
          <w:ilvl w:val="0"/>
          <w:numId w:val="1"/>
        </w:numPr>
        <w:ind w:left="142" w:right="-284" w:hanging="426"/>
        <w:jc w:val="both"/>
        <w:rPr>
          <w:rFonts w:eastAsiaTheme="majorEastAsia"/>
          <w:lang w:eastAsia="en-US"/>
        </w:rPr>
      </w:pPr>
      <w:r w:rsidRPr="00B769A6">
        <w:rPr>
          <w:rFonts w:eastAsiaTheme="majorEastAsia"/>
          <w:lang w:eastAsia="en-US"/>
        </w:rPr>
        <w:t>Leasing w walucie polski złoty (PLN).</w:t>
      </w:r>
    </w:p>
    <w:p w14:paraId="5F3D736D" w14:textId="2E053345" w:rsidR="005B0CA1" w:rsidRPr="00B769A6" w:rsidRDefault="005B0CA1" w:rsidP="00B6711B">
      <w:pPr>
        <w:pStyle w:val="Akapitzlist"/>
        <w:numPr>
          <w:ilvl w:val="0"/>
          <w:numId w:val="1"/>
        </w:numPr>
        <w:ind w:left="142" w:right="-284" w:hanging="426"/>
        <w:jc w:val="both"/>
        <w:rPr>
          <w:rFonts w:eastAsiaTheme="majorEastAsia"/>
          <w:lang w:eastAsia="en-US"/>
        </w:rPr>
      </w:pPr>
      <w:r w:rsidRPr="00B769A6">
        <w:rPr>
          <w:rFonts w:eastAsiaTheme="majorEastAsia"/>
          <w:lang w:eastAsia="en-US"/>
        </w:rPr>
        <w:t>Wartość udziału własnego Zamawiającego</w:t>
      </w:r>
      <w:r w:rsidR="00F7389A">
        <w:rPr>
          <w:rFonts w:eastAsiaTheme="majorEastAsia"/>
          <w:lang w:eastAsia="en-US"/>
        </w:rPr>
        <w:t xml:space="preserve"> dla obu części</w:t>
      </w:r>
      <w:r w:rsidRPr="00B769A6">
        <w:rPr>
          <w:rFonts w:eastAsiaTheme="majorEastAsia"/>
          <w:lang w:eastAsia="en-US"/>
        </w:rPr>
        <w:t xml:space="preserve"> 0%</w:t>
      </w:r>
      <w:r w:rsidR="00442AAC" w:rsidRPr="00B769A6">
        <w:rPr>
          <w:rFonts w:eastAsiaTheme="majorEastAsia"/>
          <w:lang w:eastAsia="en-US"/>
        </w:rPr>
        <w:t>.</w:t>
      </w:r>
    </w:p>
    <w:p w14:paraId="522FDC32" w14:textId="5C30E1B3" w:rsidR="00442AAC" w:rsidRPr="00B769A6" w:rsidRDefault="00442AAC" w:rsidP="00B6711B">
      <w:pPr>
        <w:pStyle w:val="Akapitzlist"/>
        <w:numPr>
          <w:ilvl w:val="0"/>
          <w:numId w:val="1"/>
        </w:numPr>
        <w:ind w:left="142" w:right="-284" w:hanging="426"/>
        <w:jc w:val="both"/>
        <w:rPr>
          <w:rFonts w:eastAsiaTheme="majorEastAsia"/>
          <w:lang w:eastAsia="en-US"/>
        </w:rPr>
      </w:pPr>
      <w:r w:rsidRPr="00B769A6">
        <w:rPr>
          <w:rFonts w:eastAsiaTheme="majorEastAsia"/>
          <w:lang w:eastAsia="en-US"/>
        </w:rPr>
        <w:t>Oprocentowanie oparte na koszcie zmiennym, co oznacza, iż raty leasingowe w okresie trwania umowy leasingu będą zmienne w zależności od wysokości stawki referencyjnej WIBOR 1M.</w:t>
      </w:r>
    </w:p>
    <w:p w14:paraId="3C80EEB3" w14:textId="77777777" w:rsidR="00F7389A" w:rsidRDefault="00F7389A" w:rsidP="00411974">
      <w:pPr>
        <w:pStyle w:val="Akapitzlist"/>
        <w:numPr>
          <w:ilvl w:val="0"/>
          <w:numId w:val="1"/>
        </w:numPr>
        <w:ind w:left="142" w:right="-284" w:hanging="426"/>
        <w:jc w:val="both"/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>Okres leasingu:</w:t>
      </w:r>
    </w:p>
    <w:p w14:paraId="3C5676F7" w14:textId="663D5BBF" w:rsidR="00B6711B" w:rsidRDefault="00F7389A" w:rsidP="00F7389A">
      <w:pPr>
        <w:pStyle w:val="Akapitzlist"/>
        <w:numPr>
          <w:ilvl w:val="0"/>
          <w:numId w:val="4"/>
        </w:numPr>
        <w:ind w:right="-284"/>
        <w:jc w:val="both"/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Część 1 - </w:t>
      </w:r>
      <w:r w:rsidR="00D8744F">
        <w:rPr>
          <w:rFonts w:eastAsiaTheme="majorEastAsia"/>
          <w:lang w:eastAsia="en-US"/>
        </w:rPr>
        <w:t>5</w:t>
      </w:r>
      <w:r w:rsidR="00442AAC" w:rsidRPr="00B769A6">
        <w:rPr>
          <w:rFonts w:eastAsiaTheme="majorEastAsia"/>
          <w:lang w:eastAsia="en-US"/>
        </w:rPr>
        <w:t xml:space="preserve"> lat (</w:t>
      </w:r>
      <w:r w:rsidR="00D8744F">
        <w:rPr>
          <w:rFonts w:eastAsiaTheme="majorEastAsia"/>
          <w:lang w:eastAsia="en-US"/>
        </w:rPr>
        <w:t>60</w:t>
      </w:r>
      <w:r w:rsidR="00442AAC" w:rsidRPr="00B769A6">
        <w:rPr>
          <w:rFonts w:eastAsiaTheme="majorEastAsia"/>
          <w:lang w:eastAsia="en-US"/>
        </w:rPr>
        <w:t xml:space="preserve"> rat)</w:t>
      </w:r>
      <w:r w:rsidR="00B6711B" w:rsidRPr="00B769A6">
        <w:rPr>
          <w:rFonts w:eastAsiaTheme="majorEastAsia"/>
          <w:lang w:eastAsia="en-US"/>
        </w:rPr>
        <w:t xml:space="preserve">, w trakcie których Zamawiający (leasingobiorca) uiści na rzecz </w:t>
      </w:r>
      <w:r w:rsidR="00B6711B" w:rsidRPr="00F7389A">
        <w:rPr>
          <w:rFonts w:eastAsiaTheme="majorEastAsia"/>
          <w:lang w:eastAsia="en-US"/>
        </w:rPr>
        <w:t xml:space="preserve">Wykonawcy (leasingodawcy) </w:t>
      </w:r>
      <w:r w:rsidR="00D8744F" w:rsidRPr="00F7389A">
        <w:rPr>
          <w:rFonts w:eastAsiaTheme="majorEastAsia"/>
          <w:lang w:eastAsia="en-US"/>
        </w:rPr>
        <w:t>59</w:t>
      </w:r>
      <w:r w:rsidR="00B6711B" w:rsidRPr="00F7389A">
        <w:rPr>
          <w:rFonts w:eastAsiaTheme="majorEastAsia"/>
          <w:lang w:eastAsia="en-US"/>
        </w:rPr>
        <w:t xml:space="preserve"> miesięczn</w:t>
      </w:r>
      <w:r w:rsidR="00D8744F" w:rsidRPr="00F7389A">
        <w:rPr>
          <w:rFonts w:eastAsiaTheme="majorEastAsia"/>
          <w:lang w:eastAsia="en-US"/>
        </w:rPr>
        <w:t>ych</w:t>
      </w:r>
      <w:r w:rsidR="00B6711B" w:rsidRPr="00F7389A">
        <w:rPr>
          <w:rFonts w:eastAsiaTheme="majorEastAsia"/>
          <w:lang w:eastAsia="en-US"/>
        </w:rPr>
        <w:t xml:space="preserve"> rat leasingow</w:t>
      </w:r>
      <w:r w:rsidR="00D8744F" w:rsidRPr="00F7389A">
        <w:rPr>
          <w:rFonts w:eastAsiaTheme="majorEastAsia"/>
          <w:lang w:eastAsia="en-US"/>
        </w:rPr>
        <w:t>ych</w:t>
      </w:r>
      <w:r w:rsidR="008E47FE" w:rsidRPr="00F7389A">
        <w:rPr>
          <w:rFonts w:eastAsiaTheme="majorEastAsia"/>
          <w:lang w:eastAsia="en-US"/>
        </w:rPr>
        <w:t>, zaś</w:t>
      </w:r>
      <w:r w:rsidR="00B6711B" w:rsidRPr="00F7389A">
        <w:rPr>
          <w:rFonts w:eastAsiaTheme="majorEastAsia"/>
          <w:lang w:eastAsia="en-US"/>
        </w:rPr>
        <w:t xml:space="preserve"> </w:t>
      </w:r>
      <w:r w:rsidR="00D8744F" w:rsidRPr="00F7389A">
        <w:rPr>
          <w:rFonts w:eastAsiaTheme="majorEastAsia"/>
          <w:lang w:eastAsia="en-US"/>
        </w:rPr>
        <w:t>60</w:t>
      </w:r>
      <w:r w:rsidR="008E47FE" w:rsidRPr="00F7389A">
        <w:rPr>
          <w:rFonts w:eastAsiaTheme="majorEastAsia"/>
          <w:lang w:eastAsia="en-US"/>
        </w:rPr>
        <w:t xml:space="preserve"> rata będzie ratą wykupową. </w:t>
      </w:r>
      <w:r w:rsidR="00B6711B" w:rsidRPr="00F7389A">
        <w:rPr>
          <w:rFonts w:eastAsiaTheme="majorEastAsia"/>
        </w:rPr>
        <w:t>Raty leasingowe będą płatne</w:t>
      </w:r>
      <w:r w:rsidR="00411974" w:rsidRPr="00F7389A">
        <w:rPr>
          <w:rFonts w:eastAsiaTheme="majorEastAsia"/>
        </w:rPr>
        <w:t xml:space="preserve"> </w:t>
      </w:r>
      <w:r w:rsidR="00B6711B" w:rsidRPr="00F7389A">
        <w:rPr>
          <w:rFonts w:eastAsiaTheme="majorEastAsia"/>
        </w:rPr>
        <w:t xml:space="preserve">co miesiąc, w terminie do ostatniego dnia danego miesiąca. </w:t>
      </w:r>
    </w:p>
    <w:p w14:paraId="5AF58B39" w14:textId="554EB2B7" w:rsidR="00F7389A" w:rsidRPr="00F7389A" w:rsidRDefault="00F7389A" w:rsidP="00F7389A">
      <w:pPr>
        <w:pStyle w:val="Akapitzlist"/>
        <w:numPr>
          <w:ilvl w:val="0"/>
          <w:numId w:val="4"/>
        </w:numPr>
        <w:rPr>
          <w:rFonts w:eastAsiaTheme="majorEastAsia"/>
        </w:rPr>
      </w:pPr>
      <w:r w:rsidRPr="00F7389A">
        <w:rPr>
          <w:rFonts w:eastAsiaTheme="majorEastAsia"/>
        </w:rPr>
        <w:t>Część 2 - 5 lat (60 rat), w trakcie których Zamawiający (leasingobiorca) uiści na rzecz Wykonawcy (leasingodawcy) 59 miesięcznych rat leasingowych, zaś 60 rata będzie ratą wykupową. Raty leasingowe będą płatne co miesiąc, w terminie do ostatniego dnia danego miesiąc</w:t>
      </w:r>
      <w:r>
        <w:rPr>
          <w:rFonts w:eastAsiaTheme="majorEastAsia"/>
        </w:rPr>
        <w:t>a.</w:t>
      </w:r>
    </w:p>
    <w:p w14:paraId="04F17176" w14:textId="5F42731C" w:rsidR="00B6711B" w:rsidRPr="00B769A6" w:rsidRDefault="00B6711B" w:rsidP="00F7389A">
      <w:pPr>
        <w:pStyle w:val="Akapitzlist"/>
        <w:numPr>
          <w:ilvl w:val="0"/>
          <w:numId w:val="1"/>
        </w:numPr>
        <w:ind w:left="142" w:right="-284" w:hanging="426"/>
        <w:jc w:val="both"/>
        <w:rPr>
          <w:rFonts w:eastAsiaTheme="majorEastAsia"/>
          <w:lang w:eastAsia="en-US"/>
        </w:rPr>
      </w:pPr>
      <w:r w:rsidRPr="00B769A6">
        <w:rPr>
          <w:rFonts w:eastAsiaTheme="majorEastAsia"/>
          <w:lang w:eastAsia="en-US"/>
        </w:rPr>
        <w:t xml:space="preserve">Do kalkulacji oferty, Wykonawca zobowiązany jest przyjąć wskaźnik WIBOR 1M z dnia </w:t>
      </w:r>
      <w:r w:rsidR="00DE2552">
        <w:rPr>
          <w:rFonts w:eastAsiaTheme="majorEastAsia"/>
          <w:lang w:eastAsia="en-US"/>
        </w:rPr>
        <w:t>10.05</w:t>
      </w:r>
      <w:bookmarkStart w:id="1" w:name="_GoBack"/>
      <w:bookmarkEnd w:id="1"/>
      <w:r w:rsidR="004B5568" w:rsidRPr="00F7389A">
        <w:rPr>
          <w:rFonts w:eastAsiaTheme="majorEastAsia"/>
          <w:lang w:eastAsia="en-US"/>
        </w:rPr>
        <w:t>.2024 r.</w:t>
      </w:r>
    </w:p>
    <w:p w14:paraId="2BA5DDB3" w14:textId="18BDC032" w:rsidR="00411974" w:rsidRPr="00B769A6" w:rsidRDefault="00411974" w:rsidP="00F7389A">
      <w:pPr>
        <w:pStyle w:val="Akapitzlist"/>
        <w:numPr>
          <w:ilvl w:val="0"/>
          <w:numId w:val="1"/>
        </w:numPr>
        <w:ind w:left="142" w:right="-284" w:hanging="426"/>
        <w:jc w:val="both"/>
        <w:rPr>
          <w:rFonts w:eastAsiaTheme="majorEastAsia"/>
          <w:lang w:eastAsia="en-US"/>
        </w:rPr>
      </w:pPr>
      <w:r w:rsidRPr="00B769A6">
        <w:rPr>
          <w:rFonts w:eastAsiaTheme="majorEastAsia"/>
          <w:lang w:eastAsia="en-US"/>
        </w:rPr>
        <w:t>Wykonawca po uregulowaniu wszystkich zobowiązań wynikających z umowy przenieść na Zamawiającego własność przedmiotu leasingu na wniosek Zamawiającego</w:t>
      </w:r>
      <w:r w:rsidR="003A53EB" w:rsidRPr="00B769A6">
        <w:rPr>
          <w:rFonts w:eastAsiaTheme="majorEastAsia"/>
          <w:lang w:eastAsia="en-US"/>
        </w:rPr>
        <w:t xml:space="preserve"> w terminie 30 dni od upływu okresu leasingu.</w:t>
      </w:r>
    </w:p>
    <w:p w14:paraId="5BF0E04F" w14:textId="77777777" w:rsidR="006D25E6" w:rsidRDefault="00B6711B" w:rsidP="00F7389A">
      <w:pPr>
        <w:pStyle w:val="Akapitzlist"/>
        <w:numPr>
          <w:ilvl w:val="0"/>
          <w:numId w:val="1"/>
        </w:numPr>
        <w:ind w:left="142" w:right="-284" w:hanging="426"/>
        <w:jc w:val="both"/>
        <w:rPr>
          <w:rFonts w:eastAsiaTheme="majorEastAsia"/>
          <w:lang w:eastAsia="en-US"/>
        </w:rPr>
      </w:pPr>
      <w:r w:rsidRPr="00B769A6">
        <w:rPr>
          <w:rFonts w:eastAsiaTheme="majorEastAsia"/>
          <w:lang w:eastAsia="en-US"/>
        </w:rPr>
        <w:t xml:space="preserve">Nie przewiduje się wystąpienia innych dodatkowych kosztów, w tym kaucji zabezpieczającej, prowizji, opłat manipulacyjnych czy inicjalnych. </w:t>
      </w:r>
    </w:p>
    <w:p w14:paraId="246C9EF4" w14:textId="466B0542" w:rsidR="000866AE" w:rsidRPr="006D25E6" w:rsidRDefault="006D25E6" w:rsidP="00F7389A">
      <w:pPr>
        <w:pStyle w:val="Akapitzlist"/>
        <w:numPr>
          <w:ilvl w:val="0"/>
          <w:numId w:val="1"/>
        </w:numPr>
        <w:ind w:left="142" w:right="-284" w:hanging="426"/>
        <w:jc w:val="both"/>
        <w:rPr>
          <w:rFonts w:eastAsiaTheme="majorEastAsia"/>
          <w:lang w:eastAsia="en-US"/>
        </w:rPr>
      </w:pPr>
      <w:r w:rsidRPr="006D25E6">
        <w:rPr>
          <w:rFonts w:eastAsiaTheme="majorEastAsia"/>
          <w:lang w:eastAsia="en-US"/>
        </w:rPr>
        <w:t>Koszty ubezpieczenia przedmiotu zamówienia w zakresie OC, AC, NW w okresie trwania umowy leasingu ponosi Zamawiający i zobowiązuje się do zawarcia stosownych polis ubezpieczeniowych na warunkach wymaganych przez Finansującego, w tym dla części 1 polisa OC oraz polisa CAR All risk oraz dla części 2 polisa OC i polisa AC. Zamawiający może ubezpieczyć przedmiot zamówienia na warunkach dla siebie korzystniejszych, w ramach posiadanego ubezpieczenia flotowego i majątkowego bądź po uprzednim zapoznaniu się z warunkami ubezpieczenia zaproponowanymi przez Wykonawcę. Koszty ubezpieczenia, o których mowa powyżej nie stanowią składnika rat leasingowych oraz ceny brutto, tym samym nie stanowią przedmiotu oceny wyboru najkorzystniejszej ofert przez Zamawiającego w niniejszym postępowaniu.</w:t>
      </w:r>
      <w:r>
        <w:rPr>
          <w:rFonts w:eastAsiaTheme="majorEastAsia"/>
          <w:lang w:eastAsia="en-US"/>
        </w:rPr>
        <w:t xml:space="preserve"> </w:t>
      </w:r>
      <w:r w:rsidR="000866AE" w:rsidRPr="006D25E6">
        <w:rPr>
          <w:rFonts w:eastAsiaTheme="majorEastAsia"/>
          <w:lang w:eastAsia="en-US"/>
        </w:rPr>
        <w:t>Zamawiający nie przewiduje ponoszenia dodatkowych kosztów związanych z administrowaniem polisami przez Wykonawcę.</w:t>
      </w:r>
    </w:p>
    <w:p w14:paraId="29728E1B" w14:textId="6AD4A81A" w:rsidR="00AD7D5D" w:rsidRPr="00B769A6" w:rsidRDefault="00AD7D5D" w:rsidP="00F7389A">
      <w:pPr>
        <w:pStyle w:val="Akapitzlist"/>
        <w:numPr>
          <w:ilvl w:val="0"/>
          <w:numId w:val="1"/>
        </w:numPr>
        <w:ind w:left="142" w:right="-284" w:hanging="426"/>
        <w:jc w:val="both"/>
        <w:rPr>
          <w:rFonts w:eastAsiaTheme="majorEastAsia"/>
          <w:lang w:eastAsia="en-US"/>
        </w:rPr>
      </w:pPr>
      <w:r w:rsidRPr="00B769A6">
        <w:rPr>
          <w:rFonts w:eastAsiaTheme="majorEastAsia"/>
          <w:lang w:eastAsia="en-US"/>
        </w:rPr>
        <w:t>Koszt opłat za rejestrację (jeśli jest wymagana) oraz podatku od środków transportowych leży po stronie Zamawiającego i zostanie uregulowany na podstawie refaktury.</w:t>
      </w:r>
    </w:p>
    <w:p w14:paraId="21004763" w14:textId="125A76D6" w:rsidR="00AD7D5D" w:rsidRPr="00B769A6" w:rsidRDefault="00AD7D5D" w:rsidP="00F7389A">
      <w:pPr>
        <w:pStyle w:val="Akapitzlist"/>
        <w:numPr>
          <w:ilvl w:val="0"/>
          <w:numId w:val="1"/>
        </w:numPr>
        <w:ind w:left="142" w:right="-284" w:hanging="426"/>
        <w:jc w:val="both"/>
        <w:rPr>
          <w:rFonts w:eastAsiaTheme="majorEastAsia"/>
          <w:lang w:eastAsia="en-US"/>
        </w:rPr>
      </w:pPr>
      <w:r w:rsidRPr="00B769A6">
        <w:rPr>
          <w:rFonts w:eastAsiaTheme="majorEastAsia"/>
          <w:lang w:eastAsia="en-US"/>
        </w:rPr>
        <w:t>Zamawiający wymaga zarejestrowania pojazdu</w:t>
      </w:r>
      <w:r w:rsidR="006F5451" w:rsidRPr="00B769A6">
        <w:rPr>
          <w:rFonts w:eastAsiaTheme="majorEastAsia"/>
          <w:lang w:eastAsia="en-US"/>
        </w:rPr>
        <w:t xml:space="preserve"> </w:t>
      </w:r>
      <w:r w:rsidRPr="00B769A6">
        <w:rPr>
          <w:rFonts w:eastAsiaTheme="majorEastAsia"/>
          <w:lang w:eastAsia="en-US"/>
        </w:rPr>
        <w:t>maksymalnie do 10 dni roboczych od daty podpisania protokołu odbioru pojazdu.</w:t>
      </w:r>
    </w:p>
    <w:p w14:paraId="338DB6ED" w14:textId="6EC0DE69" w:rsidR="006F5451" w:rsidRPr="00B769A6" w:rsidRDefault="006F5451" w:rsidP="00F7389A">
      <w:pPr>
        <w:pStyle w:val="Akapitzlist"/>
        <w:numPr>
          <w:ilvl w:val="0"/>
          <w:numId w:val="1"/>
        </w:numPr>
        <w:ind w:left="142" w:right="-284" w:hanging="426"/>
        <w:jc w:val="both"/>
        <w:rPr>
          <w:rFonts w:eastAsiaTheme="majorEastAsia"/>
          <w:lang w:eastAsia="en-US"/>
        </w:rPr>
      </w:pPr>
      <w:r w:rsidRPr="00B769A6">
        <w:rPr>
          <w:rFonts w:eastAsiaTheme="majorEastAsia"/>
          <w:lang w:eastAsia="en-US"/>
        </w:rPr>
        <w:lastRenderedPageBreak/>
        <w:t>Pozostałe warunki leasingu regulowane są przez wewnętrzny regulamin Wykonawcy (OWL- finansującego w umowie leasing) oraz postanowienia Kodeksu Cywilnego. Zamawiaj</w:t>
      </w:r>
      <w:r w:rsidR="003D2815" w:rsidRPr="00B769A6">
        <w:rPr>
          <w:rFonts w:eastAsiaTheme="majorEastAsia"/>
          <w:lang w:eastAsia="en-US"/>
        </w:rPr>
        <w:t>ą</w:t>
      </w:r>
      <w:r w:rsidRPr="00B769A6">
        <w:rPr>
          <w:rFonts w:eastAsiaTheme="majorEastAsia"/>
          <w:lang w:eastAsia="en-US"/>
        </w:rPr>
        <w:t>cy zaakceptuje wzór umowy leasingu wraz z ogólnymi warunkami leasingu stosowany przez Wykonawcę w obrocie gospodarczym, jeśli ich treść nie będzie w sprzeczności z warunkami</w:t>
      </w:r>
      <w:r w:rsidR="003D2815" w:rsidRPr="00B769A6">
        <w:rPr>
          <w:rFonts w:eastAsiaTheme="majorEastAsia"/>
          <w:lang w:eastAsia="en-US"/>
        </w:rPr>
        <w:t xml:space="preserve"> SWZ oraz ustawą Pzp.</w:t>
      </w:r>
    </w:p>
    <w:p w14:paraId="78214845" w14:textId="28E713CB" w:rsidR="003D2815" w:rsidRPr="00B769A6" w:rsidRDefault="003D2815" w:rsidP="00F7389A">
      <w:pPr>
        <w:pStyle w:val="Akapitzlist"/>
        <w:numPr>
          <w:ilvl w:val="0"/>
          <w:numId w:val="1"/>
        </w:numPr>
        <w:ind w:left="142" w:right="-284" w:hanging="426"/>
        <w:jc w:val="both"/>
        <w:rPr>
          <w:rFonts w:eastAsiaTheme="majorEastAsia"/>
          <w:lang w:eastAsia="en-US"/>
        </w:rPr>
      </w:pPr>
      <w:r w:rsidRPr="00B769A6">
        <w:rPr>
          <w:rFonts w:eastAsiaTheme="majorEastAsia"/>
          <w:lang w:eastAsia="en-US"/>
        </w:rPr>
        <w:t>Wykonawca zobowiązany jest najpóźniej w dacie podpisania umowy leasingowej do podpisania porozumienia trójstronnego (załączonego do SWZ) z Zamawiającym i Dostawcą.</w:t>
      </w:r>
    </w:p>
    <w:p w14:paraId="43EF0DCA" w14:textId="5F809B7C" w:rsidR="003D2815" w:rsidRPr="00B769A6" w:rsidRDefault="003D2815" w:rsidP="00F7389A">
      <w:pPr>
        <w:pStyle w:val="Akapitzlist"/>
        <w:numPr>
          <w:ilvl w:val="0"/>
          <w:numId w:val="1"/>
        </w:numPr>
        <w:ind w:left="142" w:right="-284" w:hanging="426"/>
        <w:jc w:val="both"/>
        <w:rPr>
          <w:rFonts w:eastAsiaTheme="majorEastAsia"/>
          <w:lang w:eastAsia="en-US"/>
        </w:rPr>
      </w:pPr>
      <w:r w:rsidRPr="00B769A6">
        <w:rPr>
          <w:rFonts w:eastAsiaTheme="majorEastAsia"/>
          <w:lang w:eastAsia="en-US"/>
        </w:rPr>
        <w:t xml:space="preserve">Wszystkie wymagania określone </w:t>
      </w:r>
      <w:r w:rsidR="00A910CF" w:rsidRPr="00B769A6">
        <w:rPr>
          <w:rFonts w:eastAsiaTheme="majorEastAsia"/>
          <w:lang w:eastAsia="en-US"/>
        </w:rPr>
        <w:t>powyżej stanowią wymagania minimalne, a ich spełnienie jest obligatoryjne. Niespełnienie ww. wymagań minimalnych będzie skutkować odrzuceniem ofert jako niezgodnej z warunkami zamówienia na podstawie art.226 ust. 1 pkt 5 ustawy Pzp.</w:t>
      </w:r>
    </w:p>
    <w:p w14:paraId="79FE298A" w14:textId="268C913D" w:rsidR="00A910CF" w:rsidRDefault="00A910CF" w:rsidP="00A910CF">
      <w:pPr>
        <w:pStyle w:val="Akapitzlist"/>
        <w:ind w:left="142" w:right="-284"/>
        <w:jc w:val="both"/>
        <w:rPr>
          <w:rFonts w:eastAsiaTheme="majorEastAsia"/>
          <w:highlight w:val="yellow"/>
          <w:lang w:eastAsia="en-US"/>
        </w:rPr>
      </w:pPr>
    </w:p>
    <w:p w14:paraId="79AC9F9B" w14:textId="77777777" w:rsidR="00A910CF" w:rsidRPr="00A910CF" w:rsidRDefault="00A910CF" w:rsidP="00A910CF">
      <w:pPr>
        <w:pStyle w:val="Akapitzlist"/>
        <w:ind w:left="142" w:right="-284"/>
        <w:jc w:val="both"/>
        <w:rPr>
          <w:rFonts w:eastAsiaTheme="majorEastAsia"/>
          <w:highlight w:val="yellow"/>
          <w:lang w:eastAsia="en-US"/>
        </w:rPr>
      </w:pPr>
    </w:p>
    <w:p w14:paraId="0FC84337" w14:textId="77777777" w:rsidR="00200219" w:rsidRDefault="00200219"/>
    <w:sectPr w:rsidR="00200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33C54"/>
    <w:multiLevelType w:val="hybridMultilevel"/>
    <w:tmpl w:val="659C9C36"/>
    <w:lvl w:ilvl="0" w:tplc="F1EC91A2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95755F"/>
    <w:multiLevelType w:val="hybridMultilevel"/>
    <w:tmpl w:val="34A86122"/>
    <w:lvl w:ilvl="0" w:tplc="8E78150E">
      <w:start w:val="1"/>
      <w:numFmt w:val="upperRoman"/>
      <w:pStyle w:val="Nagwek1"/>
      <w:lvlText w:val="%1."/>
      <w:lvlJc w:val="righ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96FF3"/>
    <w:multiLevelType w:val="hybridMultilevel"/>
    <w:tmpl w:val="3EB2C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43F0E"/>
    <w:multiLevelType w:val="hybridMultilevel"/>
    <w:tmpl w:val="10FAABA0"/>
    <w:lvl w:ilvl="0" w:tplc="02F27B5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1B"/>
    <w:rsid w:val="00084D1F"/>
    <w:rsid w:val="000866AE"/>
    <w:rsid w:val="00141DAF"/>
    <w:rsid w:val="00200219"/>
    <w:rsid w:val="00387A41"/>
    <w:rsid w:val="00393169"/>
    <w:rsid w:val="003A53EB"/>
    <w:rsid w:val="003D2815"/>
    <w:rsid w:val="00411974"/>
    <w:rsid w:val="00442AAC"/>
    <w:rsid w:val="004B5568"/>
    <w:rsid w:val="005B0CA1"/>
    <w:rsid w:val="00610C56"/>
    <w:rsid w:val="006D25E6"/>
    <w:rsid w:val="006F5451"/>
    <w:rsid w:val="00840894"/>
    <w:rsid w:val="008E47FE"/>
    <w:rsid w:val="00A910CF"/>
    <w:rsid w:val="00AD7D5D"/>
    <w:rsid w:val="00B6711B"/>
    <w:rsid w:val="00B769A6"/>
    <w:rsid w:val="00D8744F"/>
    <w:rsid w:val="00DE2552"/>
    <w:rsid w:val="00F7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440B"/>
  <w15:chartTrackingRefBased/>
  <w15:docId w15:val="{B1826D3E-8F04-4C5F-A0BE-C0944260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6711B"/>
    <w:pPr>
      <w:keepNext/>
      <w:keepLines/>
      <w:numPr>
        <w:numId w:val="2"/>
      </w:numPr>
      <w:spacing w:before="120" w:after="120" w:line="240" w:lineRule="auto"/>
      <w:ind w:left="357" w:hanging="357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11B"/>
    <w:rPr>
      <w:rFonts w:ascii="Times New Roman" w:eastAsiaTheme="majorEastAsia" w:hAnsi="Times New Roman" w:cstheme="majorBidi"/>
      <w:b/>
      <w:bCs/>
      <w:sz w:val="24"/>
      <w:szCs w:val="28"/>
      <w:lang w:eastAsia="pl-PL"/>
    </w:rPr>
  </w:style>
  <w:style w:type="paragraph" w:styleId="Akapitzlist">
    <w:name w:val="List Paragraph"/>
    <w:aliases w:val="Akapit z listą1,Akapit z numeracją,Akapit z listą kropka,Numerowanie,Wyliczanie,Obiekt,Akapit z listą31,lista punktowana,CW_Lista,Nagłowek 3,L1,Preambuła,Akapit z listą BS,Kolorowa lista — akcent 11,Dot pt,F5 List Paragraph,Recommendation"/>
    <w:basedOn w:val="Normalny"/>
    <w:link w:val="AkapitzlistZnak"/>
    <w:uiPriority w:val="34"/>
    <w:qFormat/>
    <w:rsid w:val="00B6711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1 Znak,Akapit z numeracją Znak,Akapit z listą kropka Znak,Numerowanie Znak,Wyliczanie Znak,Obiekt Znak,Akapit z listą31 Znak,lista punktowana Znak,CW_Lista Znak,Nagłowek 3 Znak,L1 Znak,Preambuła Znak,Dot pt Znak"/>
    <w:link w:val="Akapitzlist"/>
    <w:uiPriority w:val="34"/>
    <w:qFormat/>
    <w:locked/>
    <w:rsid w:val="00B671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38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38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38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38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38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0525-706D-49ED-838B-F6444657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 Torun</dc:creator>
  <cp:keywords/>
  <dc:description/>
  <cp:lastModifiedBy>Ewelina</cp:lastModifiedBy>
  <cp:revision>4</cp:revision>
  <cp:lastPrinted>2022-10-12T08:40:00Z</cp:lastPrinted>
  <dcterms:created xsi:type="dcterms:W3CDTF">2024-04-23T04:39:00Z</dcterms:created>
  <dcterms:modified xsi:type="dcterms:W3CDTF">2024-04-29T04:55:00Z</dcterms:modified>
</cp:coreProperties>
</file>